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D" w:rsidRPr="00BE0F88" w:rsidRDefault="00FE756D" w:rsidP="00FE7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7"/>
        <w:gridCol w:w="231"/>
        <w:gridCol w:w="2712"/>
        <w:gridCol w:w="1922"/>
        <w:gridCol w:w="2626"/>
        <w:gridCol w:w="479"/>
        <w:gridCol w:w="3049"/>
      </w:tblGrid>
      <w:tr w:rsidR="00FE756D" w:rsidRPr="00BE0F88" w:rsidTr="00E805B8">
        <w:trPr>
          <w:gridAfter w:val="1"/>
          <w:wAfter w:w="1031" w:type="pct"/>
        </w:trPr>
        <w:tc>
          <w:tcPr>
            <w:tcW w:w="127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b/>
                <w:color w:val="22272F"/>
              </w:rPr>
            </w:pPr>
          </w:p>
          <w:p w:rsidR="00FE756D" w:rsidRPr="00BE0F88" w:rsidRDefault="00FE756D" w:rsidP="00E805B8">
            <w:pPr>
              <w:pStyle w:val="s1"/>
              <w:jc w:val="both"/>
              <w:rPr>
                <w:b/>
                <w:color w:val="22272F"/>
              </w:rPr>
            </w:pPr>
          </w:p>
          <w:p w:rsidR="00FE756D" w:rsidRPr="00BE0F88" w:rsidRDefault="00FE756D" w:rsidP="00E805B8">
            <w:pPr>
              <w:pStyle w:val="s1"/>
              <w:jc w:val="both"/>
              <w:rPr>
                <w:b/>
                <w:color w:val="22272F"/>
              </w:rPr>
            </w:pPr>
          </w:p>
        </w:tc>
        <w:tc>
          <w:tcPr>
            <w:tcW w:w="7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b/>
                <w:color w:val="22272F"/>
              </w:rPr>
            </w:pPr>
          </w:p>
        </w:tc>
        <w:tc>
          <w:tcPr>
            <w:tcW w:w="2617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 xml:space="preserve">                                     Раздел II.</w:t>
            </w:r>
          </w:p>
          <w:p w:rsidR="00FE756D" w:rsidRPr="00BE0F88" w:rsidRDefault="00FE756D" w:rsidP="00E805B8">
            <w:pPr>
              <w:pStyle w:val="s1"/>
              <w:jc w:val="center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Мероприятия, сроки их реализации, перечень ответственных и порядок обмена информацией</w:t>
            </w:r>
          </w:p>
        </w:tc>
      </w:tr>
      <w:tr w:rsidR="00FE756D" w:rsidRPr="00BE0F88" w:rsidTr="00E805B8">
        <w:tc>
          <w:tcPr>
            <w:tcW w:w="226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center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Наименование мероприятия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center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сроки реализации мероприятия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center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перечень ответственных за работу с дебиторской задолженностью по доходам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center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порядок обмена информацией</w:t>
            </w: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 xml:space="preserve">   1.1 Контроль за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1.1.1 за фактическим зачислением платежей в бюджет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на постоянной основе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Главный бухгалтер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предоставление руководителю финансового отдела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1.1.2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      </w:r>
            <w:r w:rsidRPr="00BE0F88">
              <w:rPr>
                <w:color w:val="22272F"/>
                <w:vertAlign w:val="superscript"/>
              </w:rPr>
              <w:t> 3</w:t>
            </w:r>
            <w:r w:rsidRPr="00BE0F88">
              <w:rPr>
                <w:color w:val="22272F"/>
              </w:rPr>
              <w:t> Федерального закона от 27 июля 2010 г. N 210-ФЗ «Об организации предоставления государственных и муниципальных услуг»</w:t>
            </w:r>
            <w:r w:rsidRPr="00BE0F88">
              <w:rPr>
                <w:color w:val="22272F"/>
                <w:vertAlign w:val="superscript"/>
              </w:rPr>
              <w:t xml:space="preserve">  </w:t>
            </w:r>
            <w:r w:rsidRPr="00BE0F88">
              <w:rPr>
                <w:color w:val="22272F"/>
              </w:rPr>
              <w:t xml:space="preserve">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«О перечне платежей, являющихся источниками формирования доходов бюджетов </w:t>
            </w:r>
            <w:r w:rsidRPr="00BE0F88">
              <w:rPr>
                <w:color w:val="22272F"/>
              </w:rPr>
              <w:lastRenderedPageBreak/>
              <w:t>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      </w:r>
            <w:r w:rsidRPr="00BE0F88">
              <w:rPr>
                <w:color w:val="22272F"/>
                <w:vertAlign w:val="superscript"/>
              </w:rPr>
              <w:t> </w:t>
            </w:r>
            <w:r w:rsidRPr="00BE0F88">
              <w:rPr>
                <w:color w:val="22272F"/>
              </w:rPr>
              <w:t>;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lastRenderedPageBreak/>
              <w:t>на постоянной основе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Главный бухгалтер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lastRenderedPageBreak/>
              <w:t>1.1.3 за своевременным начислением неустойки (штрафов, пени);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на постоянной основе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Главный бухгалтер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при наличии основания начисления неустойки предоставление руководителю финансового отдела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1.1.4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бухгалтерском учете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на постоянной основе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 xml:space="preserve">Главный бухгалтер 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</w:tr>
      <w:tr w:rsidR="00FE756D" w:rsidRPr="00BE0F88" w:rsidTr="00E805B8">
        <w:trPr>
          <w:trHeight w:val="2400"/>
        </w:trPr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F88">
              <w:rPr>
                <w:color w:val="22272F"/>
                <w:shd w:val="clear" w:color="auto" w:fill="FFFFFF"/>
              </w:rPr>
              <w:t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bCs/>
              </w:rPr>
              <w:t xml:space="preserve">Инвентаризация проводится на основании приказа финансового отдела не ранее 15 октября и не позднее 15 </w:t>
            </w:r>
            <w:r w:rsidR="00821594" w:rsidRPr="00BE0F88">
              <w:rPr>
                <w:bCs/>
              </w:rPr>
              <w:t>декабря текущего</w:t>
            </w:r>
            <w:r w:rsidRPr="00BE0F88">
              <w:rPr>
                <w:bCs/>
              </w:rPr>
              <w:t xml:space="preserve"> года. Внеплановые инвентаризации проводятся по решению</w:t>
            </w:r>
            <w:r w:rsidRPr="00BE0F88">
              <w:rPr>
                <w:color w:val="22272F"/>
              </w:rPr>
              <w:t xml:space="preserve"> руководителя администратора доходов. 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Главный бухгалтер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821594" w:rsidP="00E805B8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п</w:t>
            </w:r>
            <w:r w:rsidRPr="00BE0F88">
              <w:rPr>
                <w:color w:val="22272F"/>
              </w:rPr>
              <w:t>редоставление информации</w:t>
            </w:r>
            <w:r w:rsidR="00FE756D" w:rsidRPr="00BE0F88">
              <w:rPr>
                <w:color w:val="22272F"/>
              </w:rPr>
              <w:t xml:space="preserve"> руководителю финансового отдела</w:t>
            </w: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  <w:shd w:val="clear" w:color="auto" w:fill="FFFFFF"/>
              </w:rPr>
              <w:t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F88">
              <w:rPr>
                <w:color w:val="22272F"/>
                <w:shd w:val="clear" w:color="auto" w:fill="FFFFFF"/>
              </w:rPr>
              <w:lastRenderedPageBreak/>
              <w:t>1.3.1 наличия сведений о взыскании с должника денежных средств в рамках исполнительного производства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Главный бухгалтер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t>предоставление информации руководителю финансового отдела для подготовки работы по принудительному взысканию задолженности (в случае наличия сведений)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BE0F88">
              <w:rPr>
                <w:color w:val="22272F"/>
                <w:shd w:val="clear" w:color="auto" w:fill="FFFFFF"/>
              </w:rPr>
              <w:t>1.3.2 наличия сведений о возбуждении в отношении должника дела о банкротстве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22272F"/>
              </w:rPr>
            </w:pPr>
            <w:r w:rsidRPr="00BE0F88">
              <w:rPr>
                <w:color w:val="22272F"/>
              </w:rPr>
              <w:t>Главный бухгалтер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821594" w:rsidP="00E805B8">
            <w:pPr>
              <w:pStyle w:val="s1"/>
              <w:jc w:val="both"/>
              <w:rPr>
                <w:color w:val="22272F"/>
              </w:rPr>
            </w:pPr>
            <w:r>
              <w:t>п</w:t>
            </w:r>
            <w:r w:rsidR="00FE756D" w:rsidRPr="00BE0F88">
              <w:t>редоставление информации руководителю финансового отдела для подготовки работы по принудительному взысканию задолженности (в случае наличия сведений)</w:t>
            </w: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b/>
                <w:color w:val="22272F"/>
              </w:rPr>
            </w:pPr>
            <w:r w:rsidRPr="00BE0F88">
              <w:rPr>
                <w:b/>
                <w:color w:val="22272F"/>
              </w:rPr>
              <w:t>2.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rPr>
                <w:shd w:val="clear" w:color="auto" w:fill="FFFFFF"/>
              </w:rPr>
              <w:t>2.1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течение 10 рабочих дней с момента возникновения просроченной задолженности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Главный бухгалтер,</w:t>
            </w:r>
          </w:p>
          <w:p w:rsidR="00FE756D" w:rsidRPr="00BE0F88" w:rsidRDefault="00FE756D" w:rsidP="00E805B8">
            <w:pPr>
              <w:pStyle w:val="s1"/>
              <w:jc w:val="both"/>
            </w:pPr>
            <w:r w:rsidRPr="00BE0F88">
              <w:t>Руководитель 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color w:val="FF0000"/>
              </w:rPr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 xml:space="preserve">2.2. </w:t>
            </w:r>
            <w:r w:rsidRPr="00BE0F88">
              <w:rPr>
                <w:shd w:val="clear" w:color="auto" w:fill="FFFFFF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течение 10 рабочих дней с момента возникновения такого основания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lastRenderedPageBreak/>
              <w:t xml:space="preserve">2.3. </w:t>
            </w:r>
            <w:r w:rsidRPr="00BE0F88">
              <w:rPr>
                <w:shd w:val="clear" w:color="auto" w:fill="FFFFFF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течение 10 рабочих дней с момента возникновения такого основания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821594" w:rsidP="00E805B8">
            <w:pPr>
              <w:pStyle w:val="s1"/>
              <w:jc w:val="both"/>
            </w:pPr>
            <w:r>
              <w:t>п</w:t>
            </w:r>
            <w:r w:rsidR="00FE756D" w:rsidRPr="00BE0F88">
              <w:t>редоставление соответствующей информации Главе для принятия соответствующего решения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rPr>
                <w:shd w:val="clear" w:color="auto" w:fill="FFFFFF"/>
              </w:rPr>
              <w:t>2.4.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Положения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постановлением Правительства Российской Федерации от 29 мая 2004 г. N 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течение 10 рабочих дней с момента возникновения такого основания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shd w:val="clear" w:color="auto" w:fill="FFFFFF"/>
              </w:rPr>
            </w:pP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b/>
              </w:rPr>
            </w:pPr>
            <w:r w:rsidRPr="00BE0F88">
              <w:rPr>
                <w:b/>
              </w:rPr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</w:t>
            </w: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 xml:space="preserve">3.1 </w:t>
            </w:r>
            <w:r w:rsidRPr="00BE0F88">
              <w:rPr>
                <w:shd w:val="clear" w:color="auto" w:fill="FFFFFF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течение 10 рабочих дней с момента возникновения такого основания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Главный бухгалтер,</w:t>
            </w:r>
          </w:p>
          <w:p w:rsidR="00FE756D" w:rsidRPr="00BE0F88" w:rsidRDefault="00FE756D" w:rsidP="00E805B8">
            <w:pPr>
              <w:pStyle w:val="s1"/>
              <w:jc w:val="both"/>
            </w:pPr>
            <w:r w:rsidRPr="00BE0F88">
              <w:t>Руководитель 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rPr>
                <w:shd w:val="clear" w:color="auto" w:fill="FFFFFF"/>
              </w:rPr>
              <w:t xml:space="preserve">3.2 Обеспечение принятия исчерпывающих мер по </w:t>
            </w:r>
            <w:r w:rsidRPr="00BE0F88">
              <w:rPr>
                <w:shd w:val="clear" w:color="auto" w:fill="FFFFFF"/>
              </w:rPr>
              <w:lastRenderedPageBreak/>
              <w:t>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lastRenderedPageBreak/>
              <w:t xml:space="preserve">В течение 10 </w:t>
            </w:r>
            <w:r w:rsidRPr="00BE0F88">
              <w:lastRenderedPageBreak/>
              <w:t>рабочих дней с момента возникновения такого основания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BE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rPr>
                <w:shd w:val="clear" w:color="auto" w:fill="FFFFFF"/>
              </w:rPr>
              <w:lastRenderedPageBreak/>
              <w:t>3.3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течение 10 рабочих дней с момента возникновения такого основания</w:t>
            </w: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</w:t>
            </w: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shd w:val="clear" w:color="auto" w:fill="FFFFFF"/>
              </w:rPr>
            </w:pP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FE756D">
            <w:pPr>
              <w:pStyle w:val="a3"/>
              <w:numPr>
                <w:ilvl w:val="0"/>
                <w:numId w:val="1"/>
              </w:numPr>
              <w:tabs>
                <w:tab w:val="num" w:pos="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8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  <w:r w:rsidRPr="00BE0F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E756D" w:rsidRPr="00BE0F88" w:rsidTr="00E805B8">
        <w:tc>
          <w:tcPr>
            <w:tcW w:w="5000" w:type="pct"/>
            <w:gridSpan w:val="7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4.1. Своевременное признание просроченной дебиторской задолженности по платежам в бюджет сомнительной или безнадежной к взысканию в случае возникновения оснований (в соответствии со статьёй 47.2 Бюджетного кодекса Российской Федерации, нормативными правовыми актами)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течении 30 рабочих дней с момента возникновения оснований для признания задолженности сомнительной или безнадёжной к взысканию</w:t>
            </w:r>
          </w:p>
          <w:p w:rsidR="00FE756D" w:rsidRPr="00BE0F88" w:rsidRDefault="00FE756D" w:rsidP="00E805B8">
            <w:pPr>
              <w:pStyle w:val="s1"/>
              <w:jc w:val="both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Состав комиссии по списанию задолженности</w:t>
            </w: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56D" w:rsidRPr="004D65AF" w:rsidRDefault="00FE756D" w:rsidP="00E805B8">
            <w:pPr>
              <w:pStyle w:val="s1"/>
              <w:jc w:val="both"/>
            </w:pPr>
            <w:r w:rsidRPr="004D65AF">
              <w:t xml:space="preserve">В случае возникновения оснований (в соответствии со статьёй 47.2 Бюджетного кодекса Российской Федерации) </w:t>
            </w:r>
            <w:r w:rsidR="00821594" w:rsidRPr="004D65AF">
              <w:t>признания дебиторской</w:t>
            </w:r>
            <w:r w:rsidRPr="004D65AF">
              <w:t xml:space="preserve"> задолженности по платежам в бюджет сомнительной или </w:t>
            </w:r>
            <w:r w:rsidR="00821594" w:rsidRPr="004D65AF">
              <w:t>безнадежной к</w:t>
            </w:r>
            <w:r w:rsidRPr="004D65AF">
              <w:t xml:space="preserve"> взысканию направляют материалы для рассмотрения комиссии по списанию задолженности. По итогам принятых комиссией по списанию задолженности решений необходимо отразить списание задолженности с бухгалтерского учета.</w:t>
            </w:r>
          </w:p>
          <w:p w:rsidR="004D65AF" w:rsidRPr="004D65AF" w:rsidRDefault="004D65AF" w:rsidP="004D6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04 «</w:t>
            </w:r>
            <w:r w:rsidRPr="004D65AF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5AF">
              <w:rPr>
                <w:rFonts w:ascii="Times New Roman" w:hAnsi="Times New Roman" w:cs="Times New Roman"/>
                <w:sz w:val="24"/>
                <w:szCs w:val="24"/>
              </w:rPr>
              <w:t xml:space="preserve">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учреждения, в том числе при условии несоответствия задолженности критериям признания ее активом.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сомнительной задолженности денежных средств, до исполнения (прекращения) задолженности иным, не противоречащим законодательству Российской Федерации, способом.</w:t>
            </w:r>
          </w:p>
          <w:p w:rsidR="004D65AF" w:rsidRPr="004D65AF" w:rsidRDefault="004D65AF" w:rsidP="004D65AF">
            <w:pPr>
              <w:pStyle w:val="ConsPlusNormal"/>
              <w:spacing w:before="16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F">
              <w:rPr>
                <w:rFonts w:ascii="Times New Roman" w:hAnsi="Times New Roman" w:cs="Times New Roman"/>
                <w:sz w:val="24"/>
                <w:szCs w:val="24"/>
              </w:rPr>
              <w:t xml:space="preserve">При возобновлении процедуры взыскания задолженности дебиторов или поступлении средств в </w:t>
            </w:r>
            <w:r w:rsidRPr="004D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сомнительной задолженности неплатежеспособных дебиторов на дату возобновления взыскания или на дату зачисления на счета (лицевые счета)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поступлениям.</w:t>
            </w:r>
          </w:p>
          <w:p w:rsidR="004D65AF" w:rsidRPr="004D65AF" w:rsidRDefault="004D65AF" w:rsidP="004D65AF">
            <w:pPr>
              <w:pStyle w:val="ConsPlusNormal"/>
              <w:spacing w:before="16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F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документов, подтверждающих неопределенность относительно получения экономических выгод или полезного потенциала, в случаях, предусмотренных законодательством Российской Федерации, в том числе по завершении срока возможного возобновления процедуры взыскания задолженности согласно законодательству </w:t>
            </w:r>
            <w:r w:rsidRPr="004D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4D65AF" w:rsidRPr="004D65AF" w:rsidRDefault="004D65AF" w:rsidP="004D6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4D65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D65AF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14.09.2020 N 198н)</w:t>
            </w:r>
          </w:p>
          <w:p w:rsidR="004D65AF" w:rsidRPr="004D65AF" w:rsidRDefault="004D65AF" w:rsidP="004D65AF">
            <w:pPr>
              <w:pStyle w:val="ConsPlusNormal"/>
              <w:spacing w:before="16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AF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задолженность, признанная безнадежной к взысканию, к забалансовому учету не принимается.</w:t>
            </w:r>
          </w:p>
          <w:p w:rsidR="004D65AF" w:rsidRPr="004D65AF" w:rsidRDefault="003F1D98" w:rsidP="004D65AF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4D65AF" w:rsidRPr="004D65AF">
                <w:rPr>
                  <w:rFonts w:ascii="Times New Roman" w:hAnsi="Times New Roman" w:cs="Times New Roman"/>
                  <w:i/>
                  <w:iCs/>
                  <w:color w:val="0000FF"/>
                </w:rPr>
                <w:br/>
                <w:t>Приказ Минфина России от 01.12.2010 N 157н (ред. от 21.12.2022) "Об утверждении Единого плана счетов бухгалтерского учета для органов го</w:t>
              </w:r>
              <w:bookmarkStart w:id="0" w:name="_GoBack"/>
              <w:bookmarkEnd w:id="0"/>
              <w:r w:rsidR="004D65AF" w:rsidRPr="004D65AF">
                <w:rPr>
                  <w:rFonts w:ascii="Times New Roman" w:hAnsi="Times New Roman" w:cs="Times New Roman"/>
                  <w:i/>
                  <w:iCs/>
                  <w:color w:val="0000FF"/>
                </w:rPr>
                <w:t xml:space="preserve">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        </w:r>
            </w:hyperlink>
          </w:p>
          <w:p w:rsidR="004D65AF" w:rsidRPr="004D65AF" w:rsidRDefault="004D65AF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756D" w:rsidRPr="00BE0F88" w:rsidRDefault="00FE756D" w:rsidP="00FE7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0F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E756D" w:rsidRPr="00BE0F88" w:rsidRDefault="00FE756D" w:rsidP="00E805B8">
            <w:pPr>
              <w:pStyle w:val="s1"/>
              <w:jc w:val="both"/>
              <w:rPr>
                <w:b/>
                <w:bCs/>
              </w:rPr>
            </w:pPr>
          </w:p>
        </w:tc>
      </w:tr>
      <w:tr w:rsidR="00FE756D" w:rsidRPr="00BE0F88" w:rsidTr="00E805B8">
        <w:trPr>
          <w:trHeight w:val="1614"/>
        </w:trPr>
        <w:tc>
          <w:tcPr>
            <w:tcW w:w="226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>
              <w:rPr>
                <w:shd w:val="clear" w:color="auto" w:fill="FFFFFF"/>
              </w:rPr>
              <w:t>5</w:t>
            </w:r>
            <w:r w:rsidRPr="00BE0F88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1</w:t>
            </w:r>
            <w:r w:rsidRPr="00BE0F88">
              <w:rPr>
                <w:shd w:val="clear" w:color="auto" w:fill="FFFFFF"/>
              </w:rPr>
              <w:t>. Участие в судебных заседаниях (или представление в судебный орган мотивированной позиции)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В сроки, определяемые судебными органами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  <w:r w:rsidRPr="00BE0F88">
              <w:t>Руководитель финансового отдела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  <w:tr w:rsidR="00FE756D" w:rsidRPr="00BE0F88" w:rsidTr="00E805B8">
        <w:tc>
          <w:tcPr>
            <w:tcW w:w="2269" w:type="pct"/>
            <w:gridSpan w:val="3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650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  <w:tc>
          <w:tcPr>
            <w:tcW w:w="888" w:type="pct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  <w:tc>
          <w:tcPr>
            <w:tcW w:w="1192" w:type="pct"/>
            <w:gridSpan w:val="2"/>
            <w:shd w:val="clear" w:color="auto" w:fill="auto"/>
          </w:tcPr>
          <w:p w:rsidR="00FE756D" w:rsidRPr="00BE0F88" w:rsidRDefault="00FE756D" w:rsidP="00E805B8">
            <w:pPr>
              <w:pStyle w:val="s1"/>
              <w:jc w:val="both"/>
            </w:pPr>
          </w:p>
        </w:tc>
      </w:tr>
    </w:tbl>
    <w:p w:rsidR="00FE756D" w:rsidRDefault="00FE756D" w:rsidP="00B4587D"/>
    <w:sectPr w:rsidR="00FE756D" w:rsidSect="00FE756D">
      <w:headerReference w:type="default" r:id="rId10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59" w:rsidRDefault="00892359" w:rsidP="00821594">
      <w:pPr>
        <w:spacing w:after="0" w:line="240" w:lineRule="auto"/>
      </w:pPr>
      <w:r>
        <w:separator/>
      </w:r>
    </w:p>
  </w:endnote>
  <w:endnote w:type="continuationSeparator" w:id="1">
    <w:p w:rsidR="00892359" w:rsidRDefault="00892359" w:rsidP="0082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59" w:rsidRDefault="00892359" w:rsidP="00821594">
      <w:pPr>
        <w:spacing w:after="0" w:line="240" w:lineRule="auto"/>
      </w:pPr>
      <w:r>
        <w:separator/>
      </w:r>
    </w:p>
  </w:footnote>
  <w:footnote w:type="continuationSeparator" w:id="1">
    <w:p w:rsidR="00892359" w:rsidRDefault="00892359" w:rsidP="0082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B" w:rsidRDefault="00B4587D">
    <w:pPr>
      <w:pStyle w:val="a4"/>
      <w:jc w:val="center"/>
      <w:rPr>
        <w:rFonts w:ascii="Liberation Serif" w:hAnsi="Liberation Serif"/>
        <w:sz w:val="28"/>
        <w:szCs w:val="28"/>
      </w:rPr>
    </w:pPr>
  </w:p>
  <w:p w:rsidR="008317DB" w:rsidRDefault="00B458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325D"/>
    <w:multiLevelType w:val="hybridMultilevel"/>
    <w:tmpl w:val="E12C086A"/>
    <w:lvl w:ilvl="0" w:tplc="E0A6FBA8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6D"/>
    <w:rsid w:val="003F1D98"/>
    <w:rsid w:val="004D65AF"/>
    <w:rsid w:val="007E395E"/>
    <w:rsid w:val="00821594"/>
    <w:rsid w:val="00892359"/>
    <w:rsid w:val="00B4587D"/>
    <w:rsid w:val="00FE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6D"/>
    <w:pPr>
      <w:ind w:left="720"/>
      <w:contextualSpacing/>
    </w:pPr>
  </w:style>
  <w:style w:type="paragraph" w:customStyle="1" w:styleId="s1">
    <w:name w:val="s_1"/>
    <w:basedOn w:val="a"/>
    <w:rsid w:val="00FE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56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6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2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594"/>
    <w:rPr>
      <w:rFonts w:eastAsiaTheme="minorEastAsia"/>
      <w:lang w:eastAsia="ru-RU"/>
    </w:rPr>
  </w:style>
  <w:style w:type="paragraph" w:customStyle="1" w:styleId="ConsPlusNormal">
    <w:name w:val="ConsPlusNormal"/>
    <w:rsid w:val="004D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68E2DE7F101C9EEC0F7648F49A7E8308A1BE7C55D68D96305D8542C03A771514F6A43DC5BD08BDCE19DD61C325A3571B802DCC888B0B2d6Z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68E2DE7F101C9EEC0F7648F49A7E837881CE2C35C68D96305D8542C03A771514F6A40D45FD0878ABB8DD25564572871A31CDBD688dB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2391-2180-4ADE-ABF3-49A07D11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</cp:revision>
  <cp:lastPrinted>2023-05-30T13:34:00Z</cp:lastPrinted>
  <dcterms:created xsi:type="dcterms:W3CDTF">2023-05-30T13:17:00Z</dcterms:created>
  <dcterms:modified xsi:type="dcterms:W3CDTF">2023-05-30T13:35:00Z</dcterms:modified>
</cp:coreProperties>
</file>